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styles.xml" ContentType="application/vnd.openxmlformats-officedocument.wordprocessingml.styles+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</Types>
</file>

<file path=_rels/.rels><?xml version="1.0" encoding="UTF-8"?>
<Relationships xmlns="http://schemas.openxmlformats.org/package/2006/relationships"><Relationship Id="rId1" Type="http://schemas.openxmlformats.org/officeDocument/2006/relationships/officeDocument" Target="word/document.xml" /><Relationship Id="rId4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="http://schemas.openxmlformats.org/wordprocessingml/2006/main" xmlns:m="http://schemas.openxmlformats.org/officeDocument/2006/math" xmlns:r="http://schemas.openxmlformats.org/officeDocument/2006/relationships" xmlns:o="urn:schemas-microsoft-com:office:office" xmlns:v="urn:schemas-microsoft-com:vml" xmlns:w10="urn:schemas-microsoft-com:office:word" xmlns:a="http://schemas.openxmlformats.org/drawingml/2006/main" xmlns:pic="http://schemas.openxmlformats.org/drawingml/2006/picture" xmlns:wp="http://schemas.openxmlformats.org/drawingml/2006/wordprocessingDrawing">
  <w:body>
    <w:p>
      <w:pPr>
        <w:pStyle w:val="Compact"/>
      </w:pPr>
      <w:r>
        <w:t xml:space="preserve">Краткое описание бизнес-кейса, его назначение и место в описании бизнес-процессов.</w:t>
      </w:r>
    </w:p>
    <w:p>
      <w:pPr>
        <w:pStyle w:val="1"/>
      </w:pPr>
      <w:bookmarkStart w:id="21" w:name="3797"/>
      <w:bookmarkEnd w:id="21"/>
      <w:r>
        <w:t xml:space="preserve">Нормальный сценарий</w:t>
      </w:r>
    </w:p>
    <w:p>
      <w:pPr>
        <w:pStyle w:val="Compact"/>
      </w:pPr>
      <w:r>
        <w:t xml:space="preserve">Описываются</w:t>
      </w:r>
      <w:r>
        <w:t xml:space="preserve"> </w:t>
      </w:r>
      <w:r>
        <w:rPr>
          <w:i/>
        </w:rPr>
        <w:t xml:space="preserve">роли</w:t>
      </w:r>
      <w:r>
        <w:t xml:space="preserve">, вовлеченные в сценарий,</w:t>
      </w:r>
      <w:r>
        <w:t xml:space="preserve"> </w:t>
      </w:r>
      <w:r>
        <w:rPr>
          <w:i/>
        </w:rPr>
        <w:t xml:space="preserve">события</w:t>
      </w:r>
      <w:r>
        <w:t xml:space="preserve">, инициирующие сценарий и</w:t>
      </w:r>
      <w:r>
        <w:t xml:space="preserve"> </w:t>
      </w:r>
      <w:r>
        <w:rPr>
          <w:i/>
        </w:rPr>
        <w:t xml:space="preserve">перечень шагов</w:t>
      </w:r>
      <w:r>
        <w:t xml:space="preserve"> </w:t>
      </w:r>
      <w:r>
        <w:t xml:space="preserve">при обычном (нормальном) выполнении сценария. Предполагается, что в нормальном сценарии все происходит без отклонений и сбоев.</w:t>
      </w:r>
    </w:p>
    <w:p>
      <w:pPr>
        <w:pStyle w:val="4"/>
      </w:pPr>
      <w:bookmarkStart w:id="22" w:name="роли"/>
      <w:bookmarkEnd w:id="22"/>
      <w:r>
        <w:t xml:space="preserve">Роли</w:t>
      </w:r>
    </w:p>
    <w:p>
      <w:pPr>
        <w:pStyle w:val="4"/>
      </w:pPr>
      <w:bookmarkStart w:id="23" w:name="события"/>
      <w:bookmarkEnd w:id="23"/>
      <w:r>
        <w:t xml:space="preserve">События</w:t>
      </w:r>
    </w:p>
    <w:p>
      <w:pPr>
        <w:pStyle w:val="4"/>
      </w:pPr>
      <w:bookmarkStart w:id="24" w:name="шаги-сценария"/>
      <w:bookmarkEnd w:id="24"/>
      <w:r>
        <w:t xml:space="preserve">Шаги сценария</w:t>
      </w:r>
    </w:p>
    <w:p>
      <w:pPr>
        <w:pStyle w:val="1"/>
      </w:pPr>
      <w:bookmarkStart w:id="25" w:name="3798"/>
      <w:bookmarkEnd w:id="25"/>
      <w:r>
        <w:t xml:space="preserve">Альтернативный сценарий</w:t>
      </w:r>
    </w:p>
    <w:p>
      <w:pPr>
        <w:pStyle w:val="Compact"/>
      </w:pPr>
      <w:r>
        <w:t xml:space="preserve">Опциональный. Сценарий описывает отклонения от нормального хода событий, которые возникли в результате выбора пользователя. Если альтернативный сценарий простой, он может быть включен в состав нормального сценария.</w:t>
      </w:r>
    </w:p>
    <w:p>
      <w:pPr>
        <w:pStyle w:val="1"/>
      </w:pPr>
      <w:bookmarkStart w:id="26" w:name="3799"/>
      <w:bookmarkEnd w:id="26"/>
      <w:r>
        <w:t xml:space="preserve">Исключительный сценарий</w:t>
      </w:r>
    </w:p>
    <w:p>
      <w:pPr>
        <w:pStyle w:val="Compact"/>
      </w:pPr>
      <w:r>
        <w:t xml:space="preserve">Опциональный. Сценарий описывает нежелательное, но приемлемое отклонения от нормального сценария. Может быть включен в состав нормального сценария.</w:t>
      </w:r>
    </w:p>
    <w:p>
      <w:pPr>
        <w:pStyle w:val="1"/>
      </w:pPr>
      <w:bookmarkStart w:id="27" w:name="3800"/>
      <w:bookmarkEnd w:id="27"/>
      <w:r>
        <w:t xml:space="preserve">Список контрольных вопросов</w:t>
      </w:r>
    </w:p>
    <w:tbl>
      <w:tblPr>
        <w:tblStyle w:val="TableNormal"/>
        <w:tblW w:type="pct" w:w="0.0"/>
        <w:tblLook/>
      </w:tblPr>
      <w:tblGrid/>
      <w:tr>
        <w:tc>
          <w:p>
            <w:pPr>
              <w:pStyle w:val="Compact"/>
              <w:jc w:val="left"/>
            </w:pPr>
            <w:r>
              <w:t xml:space="preserve">1. В сценарии нет упоминания конкретных способов автоматизации (т.е. нет названий программных систем, нет детального описания интерфейсов, особенностей взаимодействия с программными системами и т.п.)</w:t>
            </w:r>
          </w:p>
        </w:tc>
        <w:tc>
          <w:p>
            <w:pPr>
              <w:pStyle w:val="Compact"/>
              <w:jc w:val="left"/>
            </w:pPr>
            <w:r>
              <w:t xml:space="preserve"> </w:t>
            </w:r>
          </w:p>
        </w:tc>
      </w:tr>
      <w:tr>
        <w:tc>
          <w:p>
            <w:pPr>
              <w:pStyle w:val="Compact"/>
              <w:jc w:val="left"/>
            </w:pPr>
            <w:r>
              <w:t xml:space="preserve">2. Сценарий начинается с события, «запускающего» описанные активности и придающего этим активностям смысл.</w:t>
            </w:r>
          </w:p>
        </w:tc>
        <w:tc>
          <w:p>
            <w:pPr>
              <w:pStyle w:val="Compact"/>
              <w:jc w:val="left"/>
            </w:pPr>
            <w:r>
              <w:t xml:space="preserve"> </w:t>
            </w:r>
          </w:p>
        </w:tc>
      </w:tr>
      <w:tr>
        <w:tc>
          <w:p>
            <w:pPr>
              <w:pStyle w:val="Compact"/>
              <w:jc w:val="left"/>
            </w:pPr>
            <w:r>
              <w:t xml:space="preserve">3. Описаны цели бизнеса, которые достигаются выполнением данного сценария, а также упомянуты способы достижения этих целей (ответ на вопрос «Зачем?»)</w:t>
            </w:r>
          </w:p>
        </w:tc>
        <w:tc>
          <w:p>
            <w:pPr>
              <w:pStyle w:val="Compact"/>
              <w:jc w:val="left"/>
            </w:pPr>
            <w:r>
              <w:t xml:space="preserve"> </w:t>
            </w:r>
          </w:p>
        </w:tc>
      </w:tr>
      <w:tr>
        <w:tc>
          <w:p>
            <w:pPr>
              <w:pStyle w:val="Compact"/>
              <w:jc w:val="left"/>
            </w:pPr>
            <w:r>
              <w:t xml:space="preserve">4. Сценарий описывает основные активности (бизнес-функции, бизнес-процессы) (ответ на вопрос «Как?»)</w:t>
            </w:r>
          </w:p>
        </w:tc>
        <w:tc>
          <w:p>
            <w:pPr>
              <w:pStyle w:val="Compact"/>
              <w:jc w:val="left"/>
            </w:pPr>
            <w:r>
              <w:t xml:space="preserve"> </w:t>
            </w:r>
          </w:p>
        </w:tc>
      </w:tr>
      <w:tr>
        <w:tc>
          <w:p>
            <w:pPr>
              <w:pStyle w:val="Compact"/>
              <w:jc w:val="left"/>
            </w:pPr>
            <w:r>
              <w:t xml:space="preserve">5. Указаны организационные единицы, участвующие в сценарии. Описаны связи между ними. Дано представление о количестве и географическом расположении организационных единиц (ответ на вопрос «Где?»)</w:t>
            </w:r>
          </w:p>
        </w:tc>
        <w:tc>
          <w:p>
            <w:pPr>
              <w:pStyle w:val="Compact"/>
              <w:jc w:val="left"/>
            </w:pPr>
            <w:r>
              <w:t xml:space="preserve"> </w:t>
            </w:r>
          </w:p>
        </w:tc>
      </w:tr>
      <w:tr>
        <w:tc>
          <w:p>
            <w:pPr>
              <w:pStyle w:val="Compact"/>
              <w:jc w:val="left"/>
            </w:pPr>
            <w:r>
              <w:t xml:space="preserve">6. Указаны должностные лица (или роли), участвующие в процессах. Перечислены основные результаты работы персонала, а также способы хранения и передачи этих результатов (ответ на вопрос «Что/Кто?»)</w:t>
            </w:r>
          </w:p>
        </w:tc>
        <w:tc>
          <w:p>
            <w:pPr>
              <w:pStyle w:val="Compact"/>
              <w:jc w:val="left"/>
            </w:pPr>
            <w:r>
              <w:t xml:space="preserve"> </w:t>
            </w:r>
          </w:p>
        </w:tc>
      </w:tr>
      <w:tr>
        <w:tc>
          <w:p>
            <w:pPr>
              <w:pStyle w:val="Compact"/>
              <w:jc w:val="left"/>
            </w:pPr>
            <w:r>
              <w:t xml:space="preserve">7. Описаны происходящие события, моменты времени и периодичность, в которые происходят эти события. Дана оценка по продолжительности активностей и процессов (ответ на вопрос «Когда?»)</w:t>
            </w:r>
          </w:p>
        </w:tc>
        <w:tc>
          <w:p>
            <w:pPr>
              <w:pStyle w:val="Compact"/>
              <w:jc w:val="left"/>
            </w:pPr>
            <w:r>
              <w:t xml:space="preserve"> </w:t>
            </w:r>
          </w:p>
        </w:tc>
      </w:tr>
      <w:tr>
        <w:tc>
          <w:p>
            <w:pPr>
              <w:pStyle w:val="Compact"/>
              <w:jc w:val="left"/>
            </w:pPr>
            <w:r>
              <w:t xml:space="preserve">8. Все используемые в сценарии термины и понятия определены в сопроводительной документации (в глоссарии, или в концептуальном описании, или пр.)</w:t>
            </w:r>
          </w:p>
        </w:tc>
        <w:tc>
          <w:p>
            <w:pPr>
              <w:pStyle w:val="Compact"/>
              <w:jc w:val="left"/>
            </w:pPr>
            <w:r>
              <w:t xml:space="preserve"> </w:t>
            </w:r>
          </w:p>
        </w:tc>
      </w:tr>
    </w:tbl>
    <w:sectPr w:rsidR="007F51F2" w:rsidRPr="00EE3DC7">
      <w:pgSz w:w="12240" w:h="15840"/>
      <w:pgMar w:top="1134" w:right="850" w:bottom="1134" w:left="1701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nsolas">
    <w:panose1 w:val="020B0609020204030204"/>
    <w:charset w:val="00"/>
    <w:family w:val="roman"/>
    <w:notTrueType/>
    <w:pitch w:val="default"/>
  </w:font>
</w:fonts>
</file>

<file path=word/footnotes.xml><?xml version="1.0" encoding="utf-8"?>
<w:footnotes xmlns:w="http://schemas.openxmlformats.org/wordprocessingml/2006/main" xmlns:m="http://schemas.openxmlformats.org/officeDocument/2006/math" xmlns:r="http://schemas.openxmlformats.org/officeDocument/2006/relationships" xmlns:o="urn:schemas-microsoft-com:office:office" xmlns:v="urn:schemas-microsoft-com:vml" xmlns:w10="urn:schemas-microsoft-com:office:word" xmlns:a="http://schemas.openxmlformats.org/drawingml/2006/main" xmlns:pic="http://schemas.openxmlformats.org/drawingml/2006/picture" xmlns:wp="http://schemas.openxmlformats.org/drawingml/2006/wordprocessingDrawing">
  <w:footnote w:type="continuationSeparator" w:id="0">
    <w:p>
      <w:r>
        <w:continuationSeparator/>
      </w:r>
    </w:p>
  </w:footnote>
  <w:footnote w:type="separator" w:id="-1">
    <w:p>
      <w:r>
        <w: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E17F69BA"/>
    <w:multiLevelType w:val="multilevel"/>
    <w:tmpl w:val="0504A2E8"/>
    <w:lvl w:ilvl="0">
      <w:numFmt w:val="bullet"/>
      <w:lvlText w:val=" "/>
      <w:lvlJc w:val="left"/>
      <w:pPr>
        <w:tabs>
          <w:tab w:val="num" w:pos="0"/>
        </w:tabs>
        <w:ind w:left="480" w:hanging="480"/>
      </w:pPr>
    </w:lvl>
    <w:lvl w:ilvl="1">
      <w:numFmt w:val="bullet"/>
      <w:lvlText w:val=" "/>
      <w:lvlJc w:val="left"/>
      <w:pPr>
        <w:tabs>
          <w:tab w:val="num" w:pos="720"/>
        </w:tabs>
        <w:ind w:left="1200" w:hanging="480"/>
      </w:pPr>
    </w:lvl>
    <w:lvl w:ilvl="2">
      <w:numFmt w:val="bullet"/>
      <w:lvlText w:val=" "/>
      <w:lvlJc w:val="left"/>
      <w:pPr>
        <w:tabs>
          <w:tab w:val="num" w:pos="1440"/>
        </w:tabs>
        <w:ind w:left="1920" w:hanging="480"/>
      </w:pPr>
    </w:lvl>
    <w:lvl w:ilvl="3">
      <w:numFmt w:val="bullet"/>
      <w:lvlText w:val=" "/>
      <w:lvlJc w:val="left"/>
      <w:pPr>
        <w:tabs>
          <w:tab w:val="num" w:pos="2160"/>
        </w:tabs>
        <w:ind w:left="2640" w:hanging="480"/>
      </w:pPr>
    </w:lvl>
    <w:lvl w:ilvl="4">
      <w:numFmt w:val="bullet"/>
      <w:lvlText w:val=" "/>
      <w:lvlJc w:val="left"/>
      <w:pPr>
        <w:tabs>
          <w:tab w:val="num" w:pos="2880"/>
        </w:tabs>
        <w:ind w:left="3360" w:hanging="480"/>
      </w:pPr>
    </w:lvl>
    <w:lvl w:ilvl="5">
      <w:numFmt w:val="bullet"/>
      <w:lvlText w:val=" "/>
      <w:lvlJc w:val="left"/>
      <w:pPr>
        <w:tabs>
          <w:tab w:val="num" w:pos="3600"/>
        </w:tabs>
        <w:ind w:left="4080" w:hanging="480"/>
      </w:pPr>
    </w:lvl>
    <w:lvl w:ilvl="6">
      <w:numFmt w:val="bullet"/>
      <w:lvlText w:val=" "/>
      <w:lvlJc w:val="left"/>
      <w:pPr>
        <w:tabs>
          <w:tab w:val="num" w:pos="4320"/>
        </w:tabs>
        <w:ind w:left="4800" w:hanging="480"/>
      </w:pPr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1BBFD7D2"/>
    <w:multiLevelType w:val="multilevel"/>
    <w:tmpl w:val="2794CF70"/>
    <w:lvl w:ilvl="0">
      <w:numFmt w:val="bullet"/>
      <w:lvlText w:val=" "/>
      <w:lvlJc w:val="left"/>
      <w:pPr>
        <w:tabs>
          <w:tab w:val="num" w:pos="0"/>
        </w:tabs>
        <w:ind w:left="480" w:hanging="480"/>
      </w:pPr>
    </w:lvl>
    <w:lvl w:ilvl="1">
      <w:numFmt w:val="bullet"/>
      <w:lvlText w:val=" "/>
      <w:lvlJc w:val="left"/>
      <w:pPr>
        <w:tabs>
          <w:tab w:val="num" w:pos="720"/>
        </w:tabs>
        <w:ind w:left="1200" w:hanging="480"/>
      </w:pPr>
    </w:lvl>
    <w:lvl w:ilvl="2">
      <w:numFmt w:val="bullet"/>
      <w:lvlText w:val=" "/>
      <w:lvlJc w:val="left"/>
      <w:pPr>
        <w:tabs>
          <w:tab w:val="num" w:pos="1440"/>
        </w:tabs>
        <w:ind w:left="1920" w:hanging="480"/>
      </w:pPr>
    </w:lvl>
    <w:lvl w:ilvl="3">
      <w:numFmt w:val="bullet"/>
      <w:lvlText w:val=" "/>
      <w:lvlJc w:val="left"/>
      <w:pPr>
        <w:tabs>
          <w:tab w:val="num" w:pos="2160"/>
        </w:tabs>
        <w:ind w:left="2640" w:hanging="480"/>
      </w:pPr>
    </w:lvl>
    <w:lvl w:ilvl="4">
      <w:numFmt w:val="bullet"/>
      <w:lvlText w:val=" "/>
      <w:lvlJc w:val="left"/>
      <w:pPr>
        <w:tabs>
          <w:tab w:val="num" w:pos="2880"/>
        </w:tabs>
        <w:ind w:left="3360" w:hanging="480"/>
      </w:pPr>
    </w:lvl>
    <w:lvl w:ilvl="5">
      <w:numFmt w:val="bullet"/>
      <w:lvlText w:val=" "/>
      <w:lvlJc w:val="left"/>
      <w:pPr>
        <w:tabs>
          <w:tab w:val="num" w:pos="3600"/>
        </w:tabs>
        <w:ind w:left="4080" w:hanging="480"/>
      </w:pPr>
    </w:lvl>
    <w:lvl w:ilvl="6">
      <w:numFmt w:val="bullet"/>
      <w:lvlText w:val=" "/>
      <w:lvlJc w:val="left"/>
      <w:pPr>
        <w:tabs>
          <w:tab w:val="num" w:pos="4320"/>
        </w:tabs>
        <w:ind w:left="4800" w:hanging="480"/>
      </w:pPr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90">
    <w:nsid w:val="17b4b1f3"/>
    <w:multiLevelType w:val="multilevel"/>
    <w:lvl w:ilvl="0">
      <w:numFmt w:val="bullet"/>
      <w:lvlText w:val=" "/>
      <w:lvlJc w:val="left"/>
      <w:pPr>
        <w:tabs>
          <w:tab w:val="num" w:pos="0"/>
        </w:tabs>
        <w:ind w:left="480" w:hanging="480"/>
      </w:pPr>
    </w:lvl>
    <w:lvl w:ilvl="1">
      <w:numFmt w:val="bullet"/>
      <w:lvlText w:val=" "/>
      <w:lvlJc w:val="left"/>
      <w:pPr>
        <w:tabs>
          <w:tab w:val="num" w:pos="720"/>
        </w:tabs>
        <w:ind w:left="1200" w:hanging="480"/>
      </w:pPr>
    </w:lvl>
    <w:lvl w:ilvl="2">
      <w:numFmt w:val="bullet"/>
      <w:lvlText w:val=" "/>
      <w:lvlJc w:val="left"/>
      <w:pPr>
        <w:tabs>
          <w:tab w:val="num" w:pos="1440"/>
        </w:tabs>
        <w:ind w:left="1920" w:hanging="480"/>
      </w:pPr>
    </w:lvl>
    <w:lvl w:ilvl="3">
      <w:numFmt w:val="bullet"/>
      <w:lvlText w:val=" "/>
      <w:lvlJc w:val="left"/>
      <w:pPr>
        <w:tabs>
          <w:tab w:val="num" w:pos="2160"/>
        </w:tabs>
        <w:ind w:left="2640" w:hanging="480"/>
      </w:pPr>
    </w:lvl>
    <w:lvl w:ilvl="4">
      <w:numFmt w:val="bullet"/>
      <w:lvlText w:val=" "/>
      <w:lvlJc w:val="left"/>
      <w:pPr>
        <w:tabs>
          <w:tab w:val="num" w:pos="2880"/>
        </w:tabs>
        <w:ind w:left="3360" w:hanging="480"/>
      </w:pPr>
    </w:lvl>
    <w:lvl w:ilvl="5">
      <w:numFmt w:val="bullet"/>
      <w:lvlText w:val=" "/>
      <w:lvlJc w:val="left"/>
      <w:pPr>
        <w:tabs>
          <w:tab w:val="num" w:pos="3600"/>
        </w:tabs>
        <w:ind w:left="4080" w:hanging="480"/>
      </w:pPr>
    </w:lvl>
    <w:lvl w:ilvl="6">
      <w:numFmt w:val="bullet"/>
      <w:lvlText w:val=" "/>
      <w:lvlJc w:val="left"/>
      <w:pPr>
        <w:tabs>
          <w:tab w:val="num" w:pos="4320"/>
        </w:tabs>
        <w:ind w:left="4800" w:hanging="480"/>
      </w:pPr>
    </w:lvl>
  </w:abstractNum>
  <w:abstractNum w:abstractNumId="991">
    <w:nsid w:val="1b40a164"/>
    <w:multiLevelType w:val="multilevel"/>
    <w:lvl w:ilvl="0">
      <w:numFmt w:val="bullet"/>
      <w:lvlText w:val="•"/>
      <w:lvlJc w:val="left"/>
      <w:pPr>
        <w:tabs>
          <w:tab w:val="num" w:pos="0"/>
        </w:tabs>
        <w:ind w:left="480" w:hanging="480"/>
      </w:pPr>
    </w:lvl>
    <w:lvl w:ilvl="1">
      <w:numFmt w:val="bullet"/>
      <w:lvlText w:val="–"/>
      <w:lvlJc w:val="left"/>
      <w:pPr>
        <w:tabs>
          <w:tab w:val="num" w:pos="720"/>
        </w:tabs>
        <w:ind w:left="1200" w:hanging="480"/>
      </w:pPr>
    </w:lvl>
    <w:lvl w:ilvl="2">
      <w:numFmt w:val="bullet"/>
      <w:lvlText w:val="•"/>
      <w:lvlJc w:val="left"/>
      <w:pPr>
        <w:tabs>
          <w:tab w:val="num" w:pos="1440"/>
        </w:tabs>
        <w:ind w:left="1920" w:hanging="480"/>
      </w:pPr>
    </w:lvl>
    <w:lvl w:ilvl="3">
      <w:numFmt w:val="bullet"/>
      <w:lvlText w:val="–"/>
      <w:lvlJc w:val="left"/>
      <w:pPr>
        <w:tabs>
          <w:tab w:val="num" w:pos="2160"/>
        </w:tabs>
        <w:ind w:left="2640" w:hanging="480"/>
      </w:pPr>
    </w:lvl>
    <w:lvl w:ilvl="4">
      <w:numFmt w:val="bullet"/>
      <w:lvlText w:val="•"/>
      <w:lvlJc w:val="left"/>
      <w:pPr>
        <w:tabs>
          <w:tab w:val="num" w:pos="2880"/>
        </w:tabs>
        <w:ind w:left="3360" w:hanging="480"/>
      </w:pPr>
    </w:lvl>
    <w:lvl w:ilvl="5">
      <w:numFmt w:val="bullet"/>
      <w:lvlText w:val="–"/>
      <w:lvlJc w:val="left"/>
      <w:pPr>
        <w:tabs>
          <w:tab w:val="num" w:pos="3600"/>
        </w:tabs>
        <w:ind w:left="4080" w:hanging="480"/>
      </w:pPr>
    </w:lvl>
    <w:lvl w:ilvl="6">
      <w:numFmt w:val="bullet"/>
      <w:lvlText w:val="•"/>
      <w:lvlJc w:val="left"/>
      <w:pPr>
        <w:tabs>
          <w:tab w:val="num" w:pos="4320"/>
        </w:tabs>
        <w:ind w:left="4800" w:hanging="480"/>
      </w:pPr>
    </w:lvl>
  </w:abstractNum>
  <w:abstractNum w:abstractNumId="99201">
    <w:nsid w:val="b009caf4"/>
    <w:multiLevelType w:val="multilevel"/>
    <w:lvl w:ilvl="0">
      <w:start w:val="1"/>
      <w:numFmt w:val="decimal"/>
      <w:lvlText w:val="%1."/>
      <w:lvlJc w:val="left"/>
      <w:pPr>
        <w:tabs>
          <w:tab w:val="num" w:pos="0"/>
        </w:tabs>
        <w:ind w:left="480" w:hanging="480"/>
      </w:pPr>
    </w:lvl>
    <w:lvl w:ilvl="1">
      <w:start w:val="1"/>
      <w:numFmt w:val="decimal"/>
      <w:lvlText w:val="%2."/>
      <w:lvlJc w:val="left"/>
      <w:pPr>
        <w:tabs>
          <w:tab w:val="num" w:pos="720"/>
        </w:tabs>
        <w:ind w:left="1200" w:hanging="480"/>
      </w:pPr>
    </w:lvl>
    <w:lvl w:ilvl="2">
      <w:start w:val="1"/>
      <w:numFmt w:val="lowerLetter"/>
      <w:lvlText w:val="%3."/>
      <w:lvlJc w:val="left"/>
      <w:pPr>
        <w:tabs>
          <w:tab w:val="num" w:pos="1440"/>
        </w:tabs>
        <w:ind w:left="1920" w:hanging="480"/>
      </w:pPr>
    </w:lvl>
    <w:lvl w:ilvl="3">
      <w:start w:val="1"/>
      <w:numFmt w:val="lowerRoman"/>
      <w:lvlText w:val="%4."/>
      <w:lvlJc w:val="left"/>
      <w:pPr>
        <w:tabs>
          <w:tab w:val="num" w:pos="2160"/>
        </w:tabs>
        <w:ind w:left="2640" w:hanging="480"/>
      </w:pPr>
    </w:lvl>
    <w:lvl w:ilvl="4">
      <w:start w:val="1"/>
      <w:numFmt w:val="decimal"/>
      <w:lvlText w:val="%5."/>
      <w:lvlJc w:val="left"/>
      <w:pPr>
        <w:tabs>
          <w:tab w:val="num" w:pos="2880"/>
        </w:tabs>
        <w:ind w:left="3360" w:hanging="480"/>
      </w:pPr>
    </w:lvl>
    <w:lvl w:ilvl="5">
      <w:start w:val="1"/>
      <w:numFmt w:val="lowerLetter"/>
      <w:lvlText w:val="%6."/>
      <w:lvlJc w:val="left"/>
      <w:pPr>
        <w:tabs>
          <w:tab w:val="num" w:pos="3600"/>
        </w:tabs>
        <w:ind w:left="4080" w:hanging="480"/>
      </w:pPr>
    </w:lvl>
    <w:lvl w:ilvl="6">
      <w:start w:val="1"/>
      <w:numFmt w:val="lowerRoman"/>
      <w:lvlText w:val="%7."/>
      <w:lvlJc w:val="left"/>
      <w:pPr>
        <w:tabs>
          <w:tab w:val="num" w:pos="4320"/>
        </w:tabs>
        <w:ind w:left="4800" w:hanging="480"/>
      </w:pPr>
    </w:lvl>
  </w:abstractNum>
  <w:num w:numId="1">
    <w:abstractNumId w:val="0"/>
  </w:num>
  <w:num w:numId="2">
    <w:abstractNumId w:val="1"/>
  </w:num>
  <w:num w:numId="1000">
    <w:abstractNumId w:val="990"/>
  </w:num>
  <w:num w:numId="1001">
    <w:abstractNumId w:val="991"/>
  </w:num>
  <w:num w:numId="1002">
    <w:abstractNumId w:val="991"/>
  </w:num>
  <w:num w:numId="1003">
    <w:abstractNumId w:val="9920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</w:num>
  <w:num w:numId="1004">
    <w:abstractNumId w:val="9920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</w:num>
  <w:num w:numId="1005">
    <w:abstractNumId w:val="9920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embedSystemFonts/>
  <w:proofState w:spelling="clean" w:grammar="clean"/>
  <w:stylePaneFormatFilter w:val="0004"/>
  <w:footnotePr>
    <w:footnote w:id="-1"/>
    <w:footnote w:id="0"/>
  </w:footnotePr>
  <w:doNotTrackMoves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savePreviewPicture/>
  <w:rsids>
    <w:rsidRoot w:val="00590D07"/>
    <w:rsid w:val="00011C8B"/>
    <w:rsid w:val="004E29B3"/>
    <w:rsid w:val="00590D07"/>
    <w:rsid w:val="00784D58"/>
    <w:rsid w:val="008D6863"/>
    <w:rsid w:val="00B86B75"/>
    <w:rsid w:val="00BC48D5"/>
    <w:rsid w:val="00C36279"/>
    <w:rsid w:val="00E315A3"/>
  </w:rsids>
  <m:mathPr>
    <m:mathFont m:val="Lucida Grande"/>
    <m:brkBin m:val="before"/>
    <m:brkBinSub m:val="--"/>
    <m:smallFrac m:val="false"/>
    <m:dispDef m:val="false"/>
    <m:lMargin m:val="0"/>
    <m:rMargin m:val="0"/>
    <m:wrapRight/>
    <m:intLim m:val="subSup"/>
    <m:naryLim m:val="subSup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>
      <w:pPr>
        <w:spacing w:after="200"/>
      </w:pPr>
    </w:pPrDefault>
  </w:docDefaults>
  <w:latentStyles w:defLockedState="0" w:defUIPriority="0" w:defSemiHidden="0" w:defUnhideWhenUsed="0" w:defQFormat="0" w:count="371">
    <w:lsdException w:name="index 1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3" w:semiHidden="1" w:unhideWhenUsed="1"/>
    <w:lsdException w:name="List Number 4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0"/>
    <w:uiPriority w:val="9"/>
    <w:qFormat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  <w:style w:type="paragraph" w:styleId="2">
    <w:name w:val="heading 2"/>
    <w:basedOn w:val="a"/>
    <w:next w:val="a0"/>
    <w:uiPriority w:val="9"/>
    <w:unhideWhenUsed/>
    <w:qFormat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32"/>
      <w:szCs w:val="32"/>
    </w:rPr>
  </w:style>
  <w:style w:type="paragraph" w:styleId="3">
    <w:name w:val="heading 3"/>
    <w:basedOn w:val="a"/>
    <w:next w:val="a0"/>
    <w:uiPriority w:val="9"/>
    <w:unhideWhenUsed/>
    <w:qFormat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sz w:val="28"/>
      <w:szCs w:val="28"/>
    </w:rPr>
  </w:style>
  <w:style w:type="paragraph" w:styleId="4">
    <w:name w:val="heading 4"/>
    <w:basedOn w:val="a"/>
    <w:next w:val="a0"/>
    <w:uiPriority w:val="9"/>
    <w:unhideWhenUsed/>
    <w:qFormat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5">
    <w:name w:val="heading 5"/>
    <w:basedOn w:val="a"/>
    <w:next w:val="a0"/>
    <w:uiPriority w:val="9"/>
    <w:unhideWhenUsed/>
    <w:qFormat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i/>
      <w:iCs/>
      <w:color w:val="4F81BD" w:themeColor="accent1"/>
    </w:rPr>
  </w:style>
  <w:style w:type="paragraph" w:styleId="6">
    <w:name w:val="heading 6"/>
    <w:basedOn w:val="a"/>
    <w:next w:val="a0"/>
    <w:uiPriority w:val="9"/>
    <w:unhideWhenUsed/>
    <w:qFormat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color w:val="4F81BD" w:themeColor="accent1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Body Text"/>
    <w:basedOn w:val="a"/>
    <w:qFormat/>
    <w:pPr>
      <w:spacing w:before="180" w:after="180"/>
    </w:pPr>
  </w:style>
  <w:style w:type="paragraph" w:customStyle="1" w:styleId="FirstParagraph">
    <w:name w:val="First Paragraph"/>
    <w:basedOn w:val="a0"/>
    <w:next w:val="a0"/>
    <w:qFormat/>
  </w:style>
  <w:style w:type="paragraph" w:customStyle="1" w:styleId="Compact">
    <w:name w:val="Compact"/>
    <w:basedOn w:val="a0"/>
    <w:qFormat/>
    <w:pPr>
      <w:spacing w:before="36" w:after="36"/>
    </w:pPr>
  </w:style>
  <w:style w:type="paragraph" w:styleId="a4">
    <w:name w:val="Title"/>
    <w:basedOn w:val="a"/>
    <w:next w:val="a0"/>
    <w:qFormat/>
    <w:pPr>
      <w:keepNext/>
      <w:keepLines/>
      <w:spacing w:before="480" w:after="240"/>
      <w:jc w:val="center"/>
    </w:pPr>
    <w:rPr>
      <w:rFonts w:asciiTheme="majorHAnsi" w:eastAsiaTheme="majorEastAsia" w:hAnsiTheme="majorHAnsi" w:cstheme="majorBidi"/>
      <w:b/>
      <w:bCs/>
      <w:color w:val="345A8A" w:themeColor="accent1" w:themeShade="B5"/>
      <w:sz w:val="36"/>
      <w:szCs w:val="36"/>
    </w:rPr>
  </w:style>
  <w:style w:type="paragraph" w:styleId="a5">
    <w:name w:val="Subtitle"/>
    <w:basedOn w:val="a4"/>
    <w:next w:val="a0"/>
    <w:qFormat/>
    <w:pPr>
      <w:spacing w:before="240"/>
    </w:pPr>
    <w:rPr>
      <w:sz w:val="30"/>
      <w:szCs w:val="30"/>
    </w:rPr>
  </w:style>
  <w:style w:type="paragraph" w:customStyle="1" w:styleId="Author">
    <w:name w:val="Author"/>
    <w:next w:val="a0"/>
    <w:qFormat/>
    <w:pPr>
      <w:keepNext/>
      <w:keepLines/>
      <w:jc w:val="center"/>
    </w:pPr>
  </w:style>
  <w:style w:type="paragraph" w:styleId="a6">
    <w:name w:val="Date"/>
    <w:next w:val="a0"/>
    <w:qFormat/>
    <w:pPr>
      <w:keepNext/>
      <w:keepLines/>
      <w:jc w:val="center"/>
    </w:pPr>
  </w:style>
  <w:style w:type="paragraph" w:customStyle="1" w:styleId="Abstract">
    <w:name w:val="Abstract"/>
    <w:basedOn w:val="a"/>
    <w:next w:val="a0"/>
    <w:qFormat/>
    <w:pPr>
      <w:keepNext/>
      <w:keepLines/>
      <w:spacing w:before="300" w:after="300"/>
    </w:pPr>
    <w:rPr>
      <w:sz w:val="20"/>
      <w:szCs w:val="20"/>
    </w:rPr>
  </w:style>
  <w:style w:type="paragraph" w:styleId="a7">
    <w:name w:val="Bibliography"/>
    <w:basedOn w:val="a"/>
    <w:qFormat/>
  </w:style>
  <w:style w:type="paragraph" w:styleId="a8">
    <w:name w:val="Block Text"/>
    <w:basedOn w:val="a0"/>
    <w:next w:val="a0"/>
    <w:uiPriority w:val="9"/>
    <w:unhideWhenUsed/>
    <w:qFormat/>
    <w:pPr>
      <w:spacing w:before="100" w:after="100"/>
    </w:pPr>
    <w:rPr>
      <w:rFonts w:asciiTheme="majorHAnsi" w:eastAsiaTheme="majorEastAsia" w:hAnsiTheme="majorHAnsi" w:cstheme="majorBidi"/>
      <w:bCs/>
      <w:sz w:val="20"/>
      <w:szCs w:val="20"/>
    </w:rPr>
  </w:style>
  <w:style w:type="paragraph" w:styleId="a9">
    <w:name w:val="footnote text"/>
    <w:basedOn w:val="a"/>
    <w:uiPriority w:val="9"/>
    <w:unhideWhenUsed/>
    <w:qFormat/>
  </w:style>
  <w:style w:type="paragraph" w:customStyle="1" w:styleId="DefinitionTerm">
    <w:name w:val="Definition Term"/>
    <w:basedOn w:val="a"/>
    <w:next w:val="Definition"/>
    <w:pPr>
      <w:keepNext/>
      <w:keepLines/>
      <w:spacing w:after="0"/>
    </w:pPr>
    <w:rPr>
      <w:b/>
    </w:rPr>
  </w:style>
  <w:style w:type="paragraph" w:customStyle="1" w:styleId="Definition">
    <w:name w:val="Definition"/>
    <w:basedOn w:val="a"/>
  </w:style>
  <w:style w:type="paragraph" w:styleId="aa">
    <w:name w:val="caption"/>
    <w:basedOn w:val="a"/>
    <w:link w:val="ab"/>
    <w:pPr>
      <w:spacing w:after="120"/>
    </w:pPr>
    <w:rPr>
      <w:i/>
    </w:rPr>
  </w:style>
  <w:style w:type="paragraph" w:customStyle="1" w:styleId="TableCaption">
    <w:name w:val="Table Caption"/>
    <w:basedOn w:val="aa"/>
    <w:pPr>
      <w:keepNext/>
    </w:pPr>
  </w:style>
  <w:style w:type="paragraph" w:customStyle="1" w:styleId="ImageCaption">
    <w:name w:val="Image Caption"/>
    <w:basedOn w:val="aa"/>
  </w:style>
  <w:style w:type="paragraph" w:customStyle="1" w:styleId="Figure">
    <w:name w:val="Figure"/>
    <w:basedOn w:val="a"/>
  </w:style>
  <w:style w:type="paragraph" w:customStyle="1" w:styleId="FigurewithCaption">
    <w:name w:val="Figure with Caption"/>
    <w:basedOn w:val="Figure"/>
    <w:pPr>
      <w:keepNext/>
    </w:pPr>
  </w:style>
  <w:style w:type="character" w:customStyle="1" w:styleId="ab">
    <w:name w:val="Название объекта Знак"/>
    <w:basedOn w:val="a1"/>
    <w:link w:val="aa"/>
  </w:style>
  <w:style w:type="character" w:customStyle="1" w:styleId="VerbatimChar">
    <w:name w:val="Verbatim Char"/>
    <w:basedOn w:val="ab"/>
    <w:link w:val="SourceCode"/>
    <w:rPr>
      <w:rFonts w:ascii="Consolas" w:hAnsi="Consolas"/>
      <w:sz w:val="22"/>
    </w:rPr>
  </w:style>
  <w:style w:type="character" w:styleId="ac">
    <w:name w:val="footnote reference"/>
    <w:basedOn w:val="ab"/>
    <w:rPr>
      <w:vertAlign w:val="superscript"/>
    </w:rPr>
  </w:style>
  <w:style w:type="character" w:styleId="ad">
    <w:name w:val="Hyperlink"/>
    <w:basedOn w:val="ab"/>
    <w:rPr>
      <w:color w:val="4F81BD" w:themeColor="accent1"/>
    </w:rPr>
  </w:style>
  <w:style w:type="paragraph" w:styleId="ae">
    <w:name w:val="TOC Heading"/>
    <w:basedOn w:val="1"/>
    <w:next w:val="a0"/>
    <w:uiPriority w:val="39"/>
    <w:unhideWhenUsed/>
    <w:qFormat/>
    <w:pPr>
      <w:spacing w:before="240" w:line="259" w:lineRule="auto"/>
      <w:outlineLvl w:val="9"/>
    </w:pPr>
    <w:rPr>
      <w:b w:val="0"/>
      <w:bCs w:val="0"/>
      <w:color w:val="365F91" w:themeColor="accent1" w:themeShade="BF"/>
    </w:rPr>
  </w:style>
  <w:style w:type="paragraph" w:customStyle="1" w:styleId="SourceCode">
    <w:name w:val="Source Code"/>
    <w:basedOn w:val="a"/>
    <w:link w:val="VerbatimChar"/>
    <w:pPr>
      <w:wordWrap w:val="0"/>
    </w:pPr>
  </w:style>
  <w:style w:type="character" w:customStyle="1" w:styleId="KeywordTok">
    <w:name w:val="KeywordTok"/>
    <w:basedOn w:val="VerbatimChar"/>
    <w:rPr>
      <w:rFonts w:ascii="Consolas" w:hAnsi="Consolas"/>
      <w:b/>
      <w:color w:val="007020"/>
      <w:sz w:val="22"/>
    </w:rPr>
  </w:style>
  <w:style w:type="character" w:customStyle="1" w:styleId="DataTypeTok">
    <w:name w:val="DataTypeTok"/>
    <w:basedOn w:val="VerbatimChar"/>
    <w:rPr>
      <w:rFonts w:ascii="Consolas" w:hAnsi="Consolas"/>
      <w:color w:val="902000"/>
      <w:sz w:val="22"/>
    </w:rPr>
  </w:style>
  <w:style w:type="character" w:customStyle="1" w:styleId="DecValTok">
    <w:name w:val="DecValTok"/>
    <w:basedOn w:val="VerbatimChar"/>
    <w:rPr>
      <w:rFonts w:ascii="Consolas" w:hAnsi="Consolas"/>
      <w:color w:val="40A070"/>
      <w:sz w:val="22"/>
    </w:rPr>
  </w:style>
  <w:style w:type="character" w:customStyle="1" w:styleId="BaseNTok">
    <w:name w:val="BaseNTok"/>
    <w:basedOn w:val="VerbatimChar"/>
    <w:rPr>
      <w:rFonts w:ascii="Consolas" w:hAnsi="Consolas"/>
      <w:color w:val="40A070"/>
      <w:sz w:val="22"/>
    </w:rPr>
  </w:style>
  <w:style w:type="character" w:customStyle="1" w:styleId="FloatTok">
    <w:name w:val="FloatTok"/>
    <w:basedOn w:val="VerbatimChar"/>
    <w:rPr>
      <w:rFonts w:ascii="Consolas" w:hAnsi="Consolas"/>
      <w:color w:val="40A070"/>
      <w:sz w:val="22"/>
    </w:rPr>
  </w:style>
  <w:style w:type="character" w:customStyle="1" w:styleId="ConstantTok">
    <w:name w:val="ConstantTok"/>
    <w:basedOn w:val="VerbatimChar"/>
    <w:rPr>
      <w:rFonts w:ascii="Consolas" w:hAnsi="Consolas"/>
      <w:color w:val="880000"/>
      <w:sz w:val="22"/>
    </w:rPr>
  </w:style>
  <w:style w:type="character" w:customStyle="1" w:styleId="CharTok">
    <w:name w:val="CharTok"/>
    <w:basedOn w:val="VerbatimChar"/>
    <w:rPr>
      <w:rFonts w:ascii="Consolas" w:hAnsi="Consolas"/>
      <w:color w:val="4070A0"/>
      <w:sz w:val="22"/>
    </w:rPr>
  </w:style>
  <w:style w:type="character" w:customStyle="1" w:styleId="SpecialCharTok">
    <w:name w:val="SpecialCharTok"/>
    <w:basedOn w:val="VerbatimChar"/>
    <w:rPr>
      <w:rFonts w:ascii="Consolas" w:hAnsi="Consolas"/>
      <w:color w:val="4070A0"/>
      <w:sz w:val="22"/>
    </w:rPr>
  </w:style>
  <w:style w:type="character" w:customStyle="1" w:styleId="StringTok">
    <w:name w:val="StringTok"/>
    <w:basedOn w:val="VerbatimChar"/>
    <w:rPr>
      <w:rFonts w:ascii="Consolas" w:hAnsi="Consolas"/>
      <w:color w:val="4070A0"/>
      <w:sz w:val="22"/>
    </w:rPr>
  </w:style>
  <w:style w:type="character" w:customStyle="1" w:styleId="VerbatimStringTok">
    <w:name w:val="VerbatimStringTok"/>
    <w:basedOn w:val="VerbatimChar"/>
    <w:rPr>
      <w:rFonts w:ascii="Consolas" w:hAnsi="Consolas"/>
      <w:color w:val="4070A0"/>
      <w:sz w:val="22"/>
    </w:rPr>
  </w:style>
  <w:style w:type="character" w:customStyle="1" w:styleId="SpecialStringTok">
    <w:name w:val="SpecialStringTok"/>
    <w:basedOn w:val="VerbatimChar"/>
    <w:rPr>
      <w:rFonts w:ascii="Consolas" w:hAnsi="Consolas"/>
      <w:color w:val="BB6688"/>
      <w:sz w:val="22"/>
    </w:rPr>
  </w:style>
  <w:style w:type="character" w:customStyle="1" w:styleId="ImportTok">
    <w:name w:val="ImportTok"/>
    <w:basedOn w:val="VerbatimChar"/>
    <w:rPr>
      <w:rFonts w:ascii="Consolas" w:hAnsi="Consolas"/>
      <w:sz w:val="22"/>
    </w:rPr>
  </w:style>
  <w:style w:type="character" w:customStyle="1" w:styleId="CommentTok">
    <w:name w:val="CommentTok"/>
    <w:basedOn w:val="VerbatimChar"/>
    <w:rPr>
      <w:rFonts w:ascii="Consolas" w:hAnsi="Consolas"/>
      <w:i/>
      <w:color w:val="60A0B0"/>
      <w:sz w:val="22"/>
    </w:rPr>
  </w:style>
  <w:style w:type="character" w:customStyle="1" w:styleId="DocumentationTok">
    <w:name w:val="DocumentationTok"/>
    <w:basedOn w:val="VerbatimChar"/>
    <w:rPr>
      <w:rFonts w:ascii="Consolas" w:hAnsi="Consolas"/>
      <w:i/>
      <w:color w:val="BA2121"/>
      <w:sz w:val="22"/>
    </w:rPr>
  </w:style>
  <w:style w:type="character" w:customStyle="1" w:styleId="AnnotationTok">
    <w:name w:val="AnnotationTok"/>
    <w:basedOn w:val="VerbatimChar"/>
    <w:rPr>
      <w:rFonts w:ascii="Consolas" w:hAnsi="Consolas"/>
      <w:b/>
      <w:i/>
      <w:color w:val="60A0B0"/>
      <w:sz w:val="22"/>
    </w:rPr>
  </w:style>
  <w:style w:type="character" w:customStyle="1" w:styleId="CommentVarTok">
    <w:name w:val="CommentVarTok"/>
    <w:basedOn w:val="VerbatimChar"/>
    <w:rPr>
      <w:rFonts w:ascii="Consolas" w:hAnsi="Consolas"/>
      <w:b/>
      <w:i/>
      <w:color w:val="60A0B0"/>
      <w:sz w:val="22"/>
    </w:rPr>
  </w:style>
  <w:style w:type="character" w:customStyle="1" w:styleId="OtherTok">
    <w:name w:val="OtherTok"/>
    <w:basedOn w:val="VerbatimChar"/>
    <w:rPr>
      <w:rFonts w:ascii="Consolas" w:hAnsi="Consolas"/>
      <w:color w:val="007020"/>
      <w:sz w:val="22"/>
    </w:rPr>
  </w:style>
  <w:style w:type="character" w:customStyle="1" w:styleId="FunctionTok">
    <w:name w:val="FunctionTok"/>
    <w:basedOn w:val="VerbatimChar"/>
    <w:rPr>
      <w:rFonts w:ascii="Consolas" w:hAnsi="Consolas"/>
      <w:color w:val="06287E"/>
      <w:sz w:val="22"/>
    </w:rPr>
  </w:style>
  <w:style w:type="character" w:customStyle="1" w:styleId="VariableTok">
    <w:name w:val="VariableTok"/>
    <w:basedOn w:val="VerbatimChar"/>
    <w:rPr>
      <w:rFonts w:ascii="Consolas" w:hAnsi="Consolas"/>
      <w:color w:val="19177C"/>
      <w:sz w:val="22"/>
    </w:rPr>
  </w:style>
  <w:style w:type="character" w:customStyle="1" w:styleId="ControlFlowTok">
    <w:name w:val="ControlFlowTok"/>
    <w:basedOn w:val="VerbatimChar"/>
    <w:rPr>
      <w:rFonts w:ascii="Consolas" w:hAnsi="Consolas"/>
      <w:b/>
      <w:color w:val="007020"/>
      <w:sz w:val="22"/>
    </w:rPr>
  </w:style>
  <w:style w:type="character" w:customStyle="1" w:styleId="OperatorTok">
    <w:name w:val="OperatorTok"/>
    <w:basedOn w:val="VerbatimChar"/>
    <w:rPr>
      <w:rFonts w:ascii="Consolas" w:hAnsi="Consolas"/>
      <w:color w:val="666666"/>
      <w:sz w:val="22"/>
    </w:rPr>
  </w:style>
  <w:style w:type="character" w:customStyle="1" w:styleId="BuiltInTok">
    <w:name w:val="BuiltInTok"/>
    <w:basedOn w:val="VerbatimChar"/>
    <w:rPr>
      <w:rFonts w:ascii="Consolas" w:hAnsi="Consolas"/>
      <w:sz w:val="22"/>
    </w:rPr>
  </w:style>
  <w:style w:type="character" w:customStyle="1" w:styleId="ExtensionTok">
    <w:name w:val="ExtensionTok"/>
    <w:basedOn w:val="VerbatimChar"/>
    <w:rPr>
      <w:rFonts w:ascii="Consolas" w:hAnsi="Consolas"/>
      <w:sz w:val="22"/>
    </w:rPr>
  </w:style>
  <w:style w:type="character" w:customStyle="1" w:styleId="PreprocessorTok">
    <w:name w:val="PreprocessorTok"/>
    <w:basedOn w:val="VerbatimChar"/>
    <w:rPr>
      <w:rFonts w:ascii="Consolas" w:hAnsi="Consolas"/>
      <w:color w:val="BC7A00"/>
      <w:sz w:val="22"/>
    </w:rPr>
  </w:style>
  <w:style w:type="character" w:customStyle="1" w:styleId="AttributeTok">
    <w:name w:val="AttributeTok"/>
    <w:basedOn w:val="VerbatimChar"/>
    <w:rPr>
      <w:rFonts w:ascii="Consolas" w:hAnsi="Consolas"/>
      <w:color w:val="7D9029"/>
      <w:sz w:val="22"/>
    </w:rPr>
  </w:style>
  <w:style w:type="character" w:customStyle="1" w:styleId="RegionMarkerTok">
    <w:name w:val="RegionMarkerTok"/>
    <w:basedOn w:val="VerbatimChar"/>
    <w:rPr>
      <w:rFonts w:ascii="Consolas" w:hAnsi="Consolas"/>
      <w:sz w:val="22"/>
    </w:rPr>
  </w:style>
  <w:style w:type="character" w:customStyle="1" w:styleId="InformationTok">
    <w:name w:val="InformationTok"/>
    <w:basedOn w:val="VerbatimChar"/>
    <w:rPr>
      <w:rFonts w:ascii="Consolas" w:hAnsi="Consolas"/>
      <w:b/>
      <w:i/>
      <w:color w:val="60A0B0"/>
      <w:sz w:val="22"/>
    </w:rPr>
  </w:style>
  <w:style w:type="character" w:customStyle="1" w:styleId="WarningTok">
    <w:name w:val="WarningTok"/>
    <w:basedOn w:val="VerbatimChar"/>
    <w:rPr>
      <w:rFonts w:ascii="Consolas" w:hAnsi="Consolas"/>
      <w:b/>
      <w:i/>
      <w:color w:val="60A0B0"/>
      <w:sz w:val="22"/>
    </w:rPr>
  </w:style>
  <w:style w:type="character" w:customStyle="1" w:styleId="AlertTok">
    <w:name w:val="AlertTok"/>
    <w:basedOn w:val="VerbatimChar"/>
    <w:rPr>
      <w:rFonts w:ascii="Consolas" w:hAnsi="Consolas"/>
      <w:b/>
      <w:color w:val="FF0000"/>
      <w:sz w:val="22"/>
    </w:rPr>
  </w:style>
  <w:style w:type="character" w:customStyle="1" w:styleId="ErrorTok">
    <w:name w:val="ErrorTok"/>
    <w:basedOn w:val="VerbatimChar"/>
    <w:rPr>
      <w:rFonts w:ascii="Consolas" w:hAnsi="Consolas"/>
      <w:b/>
      <w:color w:val="FF0000"/>
      <w:sz w:val="22"/>
    </w:rPr>
  </w:style>
  <w:style w:type="character" w:customStyle="1" w:styleId="NormalTok">
    <w:name w:val="NormalTok"/>
    <w:basedOn w:val="VerbatimChar"/>
    <w:rPr>
      <w:rFonts w:ascii="Consolas" w:hAnsi="Consolas"/>
      <w:sz w:val="22"/>
    </w:rPr>
  </w:style>
  <w:style w:type="table" w:customStyle="1" w:styleId="TableNormal">
    <w:name w:val="TableNormal"/>
    <w:basedOn w:val="a2"/>
    <w:uiPriority w:val="99"/>
    <w:rsid w:val="00EE3DC7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</w:webSettings>
</file>

<file path=word/_rels/document.xml.rels><?xml version="1.0" encoding="UTF-8"?>
<Relationships xmlns="http://schemas.openxmlformats.org/package/2006/relationships"><Relationship Type="http://schemas.openxmlformats.org/officeDocument/2006/relationships/numbering" Id="rId1" Target="numbering.xml" /><Relationship Type="http://schemas.openxmlformats.org/officeDocument/2006/relationships/styles" Id="rId2" Target="styles.xml" /><Relationship Type="http://schemas.openxmlformats.org/officeDocument/2006/relationships/settings" Id="rId3" Target="settings.xml" /><Relationship Type="http://schemas.openxmlformats.org/officeDocument/2006/relationships/webSettings" Id="rId4" Target="webSettings.xml" /><Relationship Type="http://schemas.openxmlformats.org/officeDocument/2006/relationships/fontTable" Id="rId5" Target="fontTable.xml" /><Relationship Type="http://schemas.openxmlformats.org/officeDocument/2006/relationships/theme" Id="rId6" Target="theme/theme1.xml" /><Relationship Type="http://schemas.openxmlformats.org/officeDocument/2006/relationships/footnotes" Id="rId7" Target="footnotes.xml" /></Relationships>
</file>

<file path=word/_rels/footnotes.xml.rels><?xml version="1.0" encoding="UTF-8"?>
<Relationships xmlns="http://schemas.openxmlformats.org/package/2006/relationships" /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0</Characters>
  <Application>Microsoft Office Word</Application>
  <DocSecurity>0</DocSecurity>
  <Lines>0</Lines>
  <Paragraphs>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/>
  <dcterms:created xsi:type="dcterms:W3CDTF">2018-10-24T14:38:43Z</dcterms:created>
  <dcterms:modified xsi:type="dcterms:W3CDTF">2018-10-24T14:38:43Z</dcterms:modified>
</cp:coreProperties>
</file>