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comments.xml" ContentType="application/vnd.openxmlformats-officedocument.wordprocessingml.comments+xml"/>
  <Override PartName="/word/footnotes.xml" ContentType="application/vnd.openxmlformats-officedocument.wordprocessingml.footnot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 /><Relationship Id="rId4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body>
    <w:p>
      <w:pPr>
        <w:pStyle w:val="1"/>
      </w:pPr>
      <w:bookmarkStart w:id="21" w:name="17825"/>
      <w:r>
        <w:t xml:space="preserve">Введение</w:t>
      </w:r>
      <w:bookmarkEnd w:id="21"/>
    </w:p>
    <w:p>
      <w:pPr>
        <w:pStyle w:val="Compact"/>
      </w:pPr>
      <w:r>
        <w:t xml:space="preserve">Введение к документу "Спецификация программных требований" (SRS) должно дать его полный обзор. В него необходимо включить назначение, область применения, определения, акронимы, сокращения, ссылки и обзор рассматриваемой спецификации.</w:t>
      </w:r>
    </w:p>
    <w:p>
      <w:pPr>
        <w:pStyle w:val="2"/>
      </w:pPr>
      <w:bookmarkStart w:id="22" w:name="17826"/>
      <w:r>
        <w:t xml:space="preserve">Назначение</w:t>
      </w:r>
      <w:bookmarkEnd w:id="22"/>
    </w:p>
    <w:p>
      <w:pPr>
        <w:pStyle w:val="Compact"/>
      </w:pPr>
      <w:r>
        <w:t xml:space="preserve">Укажите цель создания данного документа. "Спецификация программных требований" должна полностью описывать внешнее поведение определяемого приложения или подсистемы, нефункциональные требования, проектные ограничения и другие факторы, необходимые для полного и всестороннего описания требований к программному обеспечению.</w:t>
      </w:r>
    </w:p>
    <w:p>
      <w:pPr>
        <w:pStyle w:val="2"/>
      </w:pPr>
      <w:bookmarkStart w:id="23" w:name="17827"/>
      <w:r>
        <w:t xml:space="preserve">Область применения</w:t>
      </w:r>
      <w:bookmarkEnd w:id="23"/>
    </w:p>
    <w:p>
      <w:pPr>
        <w:pStyle w:val="Compact"/>
      </w:pPr>
      <w:r>
        <w:t xml:space="preserve">Краткое описание программы, функции или группы подсистем, к которым относится данная спецификация. Указываются модели сценариев использования, с которыми она связана, и все прочие сведения, имеющие к ней отношение.</w:t>
      </w:r>
    </w:p>
    <w:p>
      <w:pPr>
        <w:pStyle w:val="2"/>
      </w:pPr>
      <w:bookmarkStart w:id="24" w:name="17829"/>
      <w:r>
        <w:t xml:space="preserve">Ссылки</w:t>
      </w:r>
      <w:bookmarkEnd w:id="24"/>
    </w:p>
    <w:p>
      <w:pPr>
        <w:pStyle w:val="Compact"/>
      </w:pPr>
      <w:r>
        <w:t xml:space="preserve">В этом разделе дается полный список всех документов, на которые ссылается "Спецификация программных требований". Каждая ссылка должна содержать заголовок документа, номер отчета (при наличии), дату и название организации, опубликовавшей документ. Следует указать также, из каких источников могут быть получены эти сведения. Эта информация может быть представлена в виде ссылки на приложение или на другой документ.</w:t>
      </w:r>
    </w:p>
    <w:p>
      <w:pPr>
        <w:pStyle w:val="1"/>
      </w:pPr>
      <w:bookmarkStart w:id="25" w:name="17831"/>
      <w:r>
        <w:t xml:space="preserve">Общее описание</w:t>
      </w:r>
      <w:bookmarkEnd w:id="25"/>
    </w:p>
    <w:p>
      <w:pPr>
        <w:pStyle w:val="Compact"/>
      </w:pPr>
      <w:r>
        <w:t xml:space="preserve">Здесь следует описать общие факторы, влияющие на продукт и требования к нему. Конкретные требования подробно определяются в разделе 3, а в этом разделе необходимо дать лишь обоснование, которое поможет их понять.</w:t>
      </w:r>
    </w:p>
    <w:p>
      <w:pPr>
        <w:pStyle w:val="1"/>
      </w:pPr>
      <w:bookmarkStart w:id="26" w:name="17832"/>
      <w:r>
        <w:t xml:space="preserve">Конкретные требования</w:t>
      </w:r>
      <w:bookmarkEnd w:id="26"/>
    </w:p>
    <w:p>
      <w:pPr>
        <w:pStyle w:val="Compact"/>
      </w:pPr>
      <w:r>
        <w:t xml:space="preserve">Этот раздел спецификации должен содержать все программные требования. Уровень детализации должен быть достаточным для проектирования системы и ее тестирования на соответствие этим требованиям. В случае применения моделирования сценариев использования, данные требования фиксируются в этих сценариях и в соответствующем документе дополнительных технических требований. В противном случае, набросок дополнительных технических требований можно вставить непосредственно в данный раздел, как показано ниже.</w:t>
      </w:r>
    </w:p>
    <w:p>
      <w:pPr>
        <w:pStyle w:val="2"/>
      </w:pPr>
      <w:bookmarkStart w:id="27" w:name="17833"/>
      <w:r>
        <w:t xml:space="preserve">Функциональность</w:t>
      </w:r>
      <w:bookmarkEnd w:id="27"/>
    </w:p>
    <w:p>
      <w:pPr>
        <w:pStyle w:val="Compact"/>
      </w:pPr>
      <w:r>
        <w:t xml:space="preserve">В этом разделе описываются функциональные требования к системе, выражаемые естественным языком. Как правило, этот раздел организуется по реализуемым функциям, однако, можно применить и альтернативные методы – например, организацию по пользователям или подсистемам. Функциональные требования могут включать в себя списки реализуемых функций, возможностей и средств обеспечения безопасности данных.</w:t>
      </w:r>
    </w:p>
    <w:p>
      <w:pPr>
        <w:pStyle w:val="3"/>
      </w:pPr>
      <w:bookmarkStart w:id="28" w:name="17834"/>
      <w:bookmarkEnd w:id="28"/>
    </w:p>
    <w:p>
      <w:pPr>
        <w:pStyle w:val="2"/>
      </w:pPr>
      <w:bookmarkStart w:id="29" w:name="17837"/>
      <w:r>
        <w:t xml:space="preserve">Надежность</w:t>
      </w:r>
      <w:bookmarkEnd w:id="29"/>
    </w:p>
    <w:p>
      <w:pPr>
        <w:pStyle w:val="Compact"/>
      </w:pPr>
      <w:r>
        <w:t xml:space="preserve">Здесь должны быть описаны требования к надежности системы. Возможная детализация: доступность, </w:t>
      </w:r>
      <w:r>
        <w:t xml:space="preserve">среднее время безотказной работы (MTBF), среднее время устранения неисправностей (MTTR), </w:t>
      </w:r>
      <w:r>
        <w:t xml:space="preserve">максимально допустимое количество ошибок, </w:t>
      </w:r>
      <w:r>
        <w:t xml:space="preserve">уровень ошибок.</w:t>
      </w:r>
    </w:p>
    <w:p>
      <w:pPr>
        <w:pStyle w:val="3"/>
      </w:pPr>
      <w:bookmarkStart w:id="30" w:name="17838"/>
      <w:bookmarkEnd w:id="30"/>
    </w:p>
    <w:p>
      <w:pPr>
        <w:pStyle w:val="2"/>
      </w:pPr>
      <w:bookmarkStart w:id="31" w:name="17839"/>
      <w:r>
        <w:t xml:space="preserve">Производительность</w:t>
      </w:r>
      <w:bookmarkEnd w:id="31"/>
    </w:p>
    <w:p>
      <w:pPr>
        <w:pStyle w:val="Compact"/>
      </w:pPr>
      <w:r>
        <w:t xml:space="preserve">В этом разделе должны быть кратко изложены основные характеристики производительности системы. Укажите характерные показатели для времени реакции. Там, где это возможно, сошлитесь на имена соответствующих сценариев использования</w:t>
      </w:r>
    </w:p>
    <w:p>
      <w:pPr>
        <w:pStyle w:val="3"/>
      </w:pPr>
      <w:bookmarkStart w:id="32" w:name="17840"/>
      <w:bookmarkEnd w:id="32"/>
    </w:p>
    <w:p>
      <w:pPr>
        <w:pStyle w:val="2"/>
      </w:pPr>
      <w:bookmarkStart w:id="33" w:name="17841"/>
      <w:r>
        <w:t xml:space="preserve">Возможности поддержки</w:t>
      </w:r>
      <w:bookmarkEnd w:id="33"/>
    </w:p>
    <w:p>
      <w:pPr>
        <w:pStyle w:val="Compact"/>
      </w:pPr>
      <w:r>
        <w:t xml:space="preserve">В этом разделе следует описать все требования, которые способны усилить возможности технической поддержки создаваемой системы, включая стандарты программирования, соглашения о присвоении имен, библиотеки классов, доступ и средства технического обслуживания.</w:t>
      </w:r>
    </w:p>
    <w:p>
      <w:pPr>
        <w:pStyle w:val="3"/>
      </w:pPr>
      <w:bookmarkStart w:id="34" w:name="17842"/>
      <w:bookmarkEnd w:id="34"/>
    </w:p>
    <w:p>
      <w:pPr>
        <w:pStyle w:val="2"/>
      </w:pPr>
      <w:bookmarkStart w:id="35" w:name="17843"/>
      <w:r>
        <w:t xml:space="preserve">Проектные ограничения</w:t>
      </w:r>
      <w:bookmarkEnd w:id="35"/>
    </w:p>
    <w:p>
      <w:pPr>
        <w:pStyle w:val="Compact"/>
      </w:pPr>
      <w:r>
        <w:t xml:space="preserve">В этом разделе описываются все проектные ограничения, применяемые к создаваемой системе. Эти ограничения представляют собой проектные решения, которых необходимо твердо придерживаться. Примерами могут служить языки программирования, требования к программному процессу, использование определенных средств разработки, архитектурные и проектные ограничения, приобретаемые компоненты, библиотеки классов и т.д.</w:t>
      </w:r>
    </w:p>
    <w:p>
      <w:pPr>
        <w:pStyle w:val="3"/>
      </w:pPr>
      <w:bookmarkStart w:id="36" w:name="17844"/>
      <w:bookmarkEnd w:id="36"/>
    </w:p>
    <w:p>
      <w:pPr>
        <w:pStyle w:val="2"/>
      </w:pPr>
      <w:bookmarkStart w:id="37" w:name="17845"/>
      <w:r>
        <w:t xml:space="preserve">Требования к эксплуатационной документации</w:t>
      </w:r>
      <w:bookmarkEnd w:id="37"/>
    </w:p>
    <w:p>
      <w:pPr>
        <w:pStyle w:val="Compact"/>
      </w:pPr>
      <w:r>
        <w:t xml:space="preserve">Опишите существующие требования к интерактивной пользовательской документации, справочным системам, сведениям о продукте и т.д.</w:t>
      </w:r>
    </w:p>
    <w:p>
      <w:pPr>
        <w:pStyle w:val="2"/>
      </w:pPr>
      <w:bookmarkStart w:id="38" w:name="17846"/>
      <w:r>
        <w:t xml:space="preserve">Приобретаемые компоненты</w:t>
      </w:r>
      <w:bookmarkEnd w:id="38"/>
    </w:p>
    <w:p>
      <w:pPr>
        <w:pStyle w:val="Compact"/>
      </w:pPr>
      <w:r>
        <w:t xml:space="preserve">В этом разделе следует описать все приобретаемые компоненты системы, все применяемые лицензионные нормы или ограничения использования, а также все связанные с этими компонентами стандарты совместимости, взаимодействия или интерфейсов.</w:t>
      </w:r>
    </w:p>
    <w:p>
      <w:pPr>
        <w:pStyle w:val="2"/>
      </w:pPr>
      <w:bookmarkStart w:id="39" w:name="17847"/>
      <w:r>
        <w:t xml:space="preserve">Интерфейсы</w:t>
      </w:r>
      <w:bookmarkEnd w:id="39"/>
    </w:p>
    <w:p>
      <w:pPr>
        <w:pStyle w:val="Compact"/>
      </w:pPr>
      <w:r>
        <w:t xml:space="preserve">В этом разделе определяются интерфейсы, которые должны поддерживаться данным приложением. Описание должно содержать их соответствующие характерные особенности, протоколы, порты, логические адреса и другие сведения, позволяющие контролировать соответствие разрабатываемого программного обеспечения требованиям к его интерфейсам.</w:t>
      </w:r>
    </w:p>
    <w:p>
      <w:pPr>
        <w:pStyle w:val="3"/>
      </w:pPr>
      <w:bookmarkStart w:id="40" w:name="17848"/>
      <w:r>
        <w:t xml:space="preserve">Пользовательские интерфейсы</w:t>
      </w:r>
      <w:bookmarkEnd w:id="40"/>
    </w:p>
    <w:p>
      <w:pPr>
        <w:pStyle w:val="Compact"/>
      </w:pPr>
      <w:r>
        <w:t xml:space="preserve">Опишите пользовательские интерфейсы, реализуемые в данном программном обеспечении.</w:t>
      </w:r>
    </w:p>
    <w:p>
      <w:pPr>
        <w:pStyle w:val="3"/>
      </w:pPr>
      <w:bookmarkStart w:id="41" w:name="17849"/>
      <w:r>
        <w:t xml:space="preserve">Аппаратные интерфейсы</w:t>
      </w:r>
      <w:bookmarkEnd w:id="41"/>
    </w:p>
    <w:p>
      <w:pPr>
        <w:pStyle w:val="Compact"/>
      </w:pPr>
      <w:r>
        <w:t xml:space="preserve">В этом разделе следует определить все аппаратные интерфейсы, поддерживаемые данным программным обеспечением, включая их логическую структуру, физические адреса, ожидаемое поведение и т.д.</w:t>
      </w:r>
    </w:p>
    <w:p>
      <w:pPr>
        <w:pStyle w:val="3"/>
      </w:pPr>
      <w:bookmarkStart w:id="42" w:name="17850"/>
      <w:r>
        <w:t xml:space="preserve">Программные интерфейсы</w:t>
      </w:r>
      <w:bookmarkEnd w:id="42"/>
    </w:p>
    <w:p>
      <w:pPr>
        <w:pStyle w:val="Compact"/>
      </w:pPr>
      <w:r>
        <w:t xml:space="preserve">В этом разделе следует описать программные интерфейсы между данным приложением и другими компонентами программной системы. В число этих компонентов могут входить приобретаемые модули, повторно используемые компоненты других приложений или же те компоненты, которые разрабатываются для подсистем вне функциональных границ данной спецификации, но с которыми это приложение должно взаимодействовать.</w:t>
      </w:r>
    </w:p>
    <w:p>
      <w:pPr>
        <w:pStyle w:val="3"/>
      </w:pPr>
      <w:bookmarkStart w:id="43" w:name="17851"/>
      <w:r>
        <w:t xml:space="preserve">Коммуникационные интерфейсы</w:t>
      </w:r>
      <w:bookmarkEnd w:id="43"/>
    </w:p>
    <w:p>
      <w:pPr>
        <w:pStyle w:val="Compact"/>
      </w:pPr>
      <w:r>
        <w:t xml:space="preserve">Опишите все коммуникационные интерфейсы, связанные с другими системами или устройствами, такими как локальные сети, удаленные устройства и т.д.</w:t>
      </w:r>
    </w:p>
    <w:p>
      <w:pPr>
        <w:pStyle w:val="2"/>
      </w:pPr>
      <w:bookmarkStart w:id="44" w:name="17852"/>
      <w:r>
        <w:t xml:space="preserve">Лицензионные требования</w:t>
      </w:r>
      <w:bookmarkEnd w:id="44"/>
    </w:p>
    <w:p>
      <w:pPr>
        <w:pStyle w:val="Compact"/>
      </w:pPr>
      <w:r>
        <w:t xml:space="preserve">Опишите все обязательные лицензионные требования или другие ограничения использования, которые накладываются на программное обеспечение.</w:t>
      </w:r>
    </w:p>
    <w:p>
      <w:pPr>
        <w:pStyle w:val="2"/>
      </w:pPr>
      <w:bookmarkStart w:id="45" w:name="17853"/>
      <w:r>
        <w:t xml:space="preserve">Предупреждения, касающиеся законодательства, авторских прав и другие замечания</w:t>
      </w:r>
      <w:bookmarkEnd w:id="45"/>
    </w:p>
    <w:p>
      <w:pPr>
        <w:pStyle w:val="Compact"/>
      </w:pPr>
      <w:r>
        <w:t xml:space="preserve">В этом разделе следует описать все необходимые юридические предупреждения, гарантии, авторские и патентные права, текстовые торговые марки, знаки или логотипы, которые имеют отношение к данному программному обеспечению.</w:t>
      </w:r>
    </w:p>
    <w:p>
      <w:pPr>
        <w:pStyle w:val="2"/>
      </w:pPr>
      <w:bookmarkStart w:id="46" w:name="17854"/>
      <w:r>
        <w:t xml:space="preserve">Применяемые стандарты</w:t>
      </w:r>
      <w:bookmarkEnd w:id="46"/>
    </w:p>
    <w:p>
      <w:pPr>
        <w:pStyle w:val="Compact"/>
      </w:pPr>
      <w:r>
        <w:t xml:space="preserve">В этом разделе должны быть приведены ссылки на все стандарты и их конкретные разделы, применяемые к описываемой системе. В их число могут входить, например, юридические стандарты, стандарты качества и стабильности, отраслевые стандарты практичности, взаимодействия, локализации, совместимости с операционными системами и т.д.</w:t>
      </w:r>
    </w:p>
    <w:sectPr w:rsidR="00BE50D5" w:rsidRPr="00ED2DD2">
      <w:pgSz w:w="12240" w:h="15840"/>
      <w:pgMar w:top="1134" w:right="850" w:bottom="1134" w:left="1701" w:header="720" w:footer="720" w:gutter="0"/>
      <w:cols w:space="720"/>
    </w:sectPr>
  </w:body>
</w:document>
</file>

<file path=word/comments.xml><?xml version="1.0" encoding="utf-8"?>
<w:comment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</w:fonts>
</file>

<file path=word/footnotes.xml><?xml version="1.0" encoding="utf-8"?>
<w:footnote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footnote w:type="continuationSeparator" w:id="0">
    <w:p>
      <w:r>
        <w:continuationSeparator/>
      </w:r>
    </w:p>
  </w:footnote>
  <w:footnote w:type="separator" w:id="-1">
    <w:p>
      <w:r>
        <w: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513E52B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26ABE8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67CE52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066249C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7E8227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4F879E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942108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B601F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5BC5E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496634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70CD2DE"/>
    <w:multiLevelType w:val="multilevel"/>
    <w:tmpl w:val="6E924ECA"/>
    <w:lvl w:ilvl="0">
      <w:numFmt w:val="bullet"/>
      <w:lvlText w:val=" "/>
      <w:lvlJc w:val="left"/>
      <w:pPr>
        <w:tabs>
          <w:tab w:val="num" w:pos="0"/>
        </w:tabs>
        <w:ind w:left="480" w:hanging="480"/>
      </w:pPr>
    </w:lvl>
    <w:lvl w:ilvl="1">
      <w:numFmt w:val="bullet"/>
      <w:lvlText w:val=" 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 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 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 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 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 "/>
      <w:lvlJc w:val="left"/>
      <w:pPr>
        <w:tabs>
          <w:tab w:val="num" w:pos="4320"/>
        </w:tabs>
        <w:ind w:left="4800" w:hanging="480"/>
      </w:pPr>
    </w:lvl>
    <w:lvl w:ilvl="7">
      <w:numFmt w:val="bullet"/>
      <w:lvlText w:val=" "/>
      <w:lvlJc w:val="left"/>
      <w:pPr>
        <w:tabs>
          <w:tab w:val="num" w:pos="5040"/>
        </w:tabs>
        <w:ind w:left="5520" w:hanging="480"/>
      </w:pPr>
    </w:lvl>
    <w:lvl w:ilvl="8">
      <w:numFmt w:val="bullet"/>
      <w:lvlText w:val=" "/>
      <w:lvlJc w:val="left"/>
      <w:pPr>
        <w:tabs>
          <w:tab w:val="num" w:pos="5760"/>
        </w:tabs>
        <w:ind w:left="6240" w:hanging="480"/>
      </w:pPr>
    </w:lvl>
  </w:abstractNum>
  <w:abstractNum w:abstractNumId="990">
    <w:nsid w:val="a3872786"/>
    <w:multiLevelType w:val="multilevel"/>
    <w:lvl w:ilvl="0">
      <w:numFmt w:val="bullet"/>
      <w:lvlText w:val=" "/>
      <w:lvlJc w:val="left"/>
      <w:pPr>
        <w:tabs>
          <w:tab w:val="num" w:pos="0"/>
        </w:tabs>
        <w:ind w:left="480" w:hanging="480"/>
      </w:pPr>
    </w:lvl>
    <w:lvl w:ilvl="1">
      <w:numFmt w:val="bullet"/>
      <w:lvlText w:val=" 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 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 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 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 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 "/>
      <w:lvlJc w:val="left"/>
      <w:pPr>
        <w:tabs>
          <w:tab w:val="num" w:pos="4320"/>
        </w:tabs>
        <w:ind w:left="4800" w:hanging="480"/>
      </w:pPr>
    </w:lvl>
    <w:lvl w:ilvl="7">
      <w:numFmt w:val="bullet"/>
      <w:lvlText w:val=" "/>
      <w:lvlJc w:val="left"/>
      <w:pPr>
        <w:tabs>
          <w:tab w:val="num" w:pos="5040"/>
        </w:tabs>
        <w:ind w:left="5520" w:hanging="480"/>
      </w:pPr>
    </w:lvl>
    <w:lvl w:ilvl="8">
      <w:numFmt w:val="bullet"/>
      <w:lvlText w:val=" "/>
      <w:lvlJc w:val="left"/>
      <w:pPr>
        <w:tabs>
          <w:tab w:val="num" w:pos="5760"/>
        </w:tabs>
        <w:ind w:left="6240" w:hanging="480"/>
      </w:p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000">
    <w:abstractNumId w:val="99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0004"/>
  <w:footnotePr>
    <w:footnote w:id="-1"/>
    <w:footnote w:id="0"/>
  </w:footnotePr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rsids>
    <w:rsidRoot w:val="00590D07"/>
    <w:rsid w:val="00011C8B"/>
    <w:rsid w:val="004E29B3"/>
    <w:rsid w:val="00590D07"/>
    <w:rsid w:val="00784D58"/>
    <w:rsid w:val="008D6863"/>
    <w:rsid w:val="00B86B75"/>
    <w:rsid w:val="00BC48D5"/>
    <w:rsid w:val="00C36279"/>
    <w:rsid w:val="00E315A3"/>
  </w:rsids>
  <m:mathPr>
    <m:mathFont m:val="Lucida Grande"/>
    <m:brkBin m:val="before"/>
    <m:brkBinSub m:val="--"/>
    <m:smallFrac m:val="false"/>
    <m:dispDef m:val="false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1"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4458"/>
  </w:style>
  <w:style w:type="paragraph" w:styleId="1">
    <w:name w:val="heading 1"/>
    <w:basedOn w:val="a"/>
    <w:next w:val="a0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2">
    <w:name w:val="heading 2"/>
    <w:basedOn w:val="a"/>
    <w:next w:val="a0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32"/>
      <w:szCs w:val="32"/>
    </w:rPr>
  </w:style>
  <w:style w:type="paragraph" w:styleId="3">
    <w:name w:val="heading 3"/>
    <w:basedOn w:val="a"/>
    <w:next w:val="a0"/>
    <w:uiPriority w:val="9"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8"/>
      <w:szCs w:val="28"/>
    </w:rPr>
  </w:style>
  <w:style w:type="paragraph" w:styleId="4">
    <w:name w:val="heading 4"/>
    <w:basedOn w:val="a"/>
    <w:next w:val="a0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"/>
    <w:next w:val="a0"/>
    <w:uiPriority w:val="9"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6">
    <w:name w:val="heading 6"/>
    <w:basedOn w:val="a"/>
    <w:next w:val="a0"/>
    <w:uiPriority w:val="9"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color w:val="4F81BD" w:themeColor="accent1"/>
    </w:rPr>
  </w:style>
  <w:style w:type="paragraph" w:styleId="7">
    <w:name w:val="heading 7"/>
    <w:basedOn w:val="a"/>
    <w:next w:val="a0"/>
    <w:uiPriority w:val="9"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color w:val="4F81BD" w:themeColor="accent1"/>
    </w:rPr>
  </w:style>
  <w:style w:type="paragraph" w:styleId="8">
    <w:name w:val="heading 8"/>
    <w:basedOn w:val="a"/>
    <w:next w:val="a0"/>
    <w:uiPriority w:val="9"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</w:rPr>
  </w:style>
  <w:style w:type="paragraph" w:styleId="9">
    <w:name w:val="heading 9"/>
    <w:basedOn w:val="a"/>
    <w:next w:val="a0"/>
    <w:uiPriority w:val="9"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a4"/>
    <w:qFormat/>
    <w:pPr>
      <w:spacing w:before="180" w:after="180"/>
    </w:pPr>
  </w:style>
  <w:style w:type="paragraph" w:customStyle="1" w:styleId="FirstParagraph">
    <w:name w:val="First Paragraph"/>
    <w:basedOn w:val="a0"/>
    <w:next w:val="a0"/>
    <w:qFormat/>
  </w:style>
  <w:style w:type="paragraph" w:customStyle="1" w:styleId="Compact">
    <w:name w:val="Compact"/>
    <w:basedOn w:val="a0"/>
    <w:qFormat/>
    <w:pPr>
      <w:spacing w:before="36" w:after="36"/>
    </w:pPr>
  </w:style>
  <w:style w:type="paragraph" w:styleId="a5">
    <w:name w:val="Title"/>
    <w:basedOn w:val="a"/>
    <w:next w:val="a0"/>
    <w:qFormat/>
    <w:pPr>
      <w:keepNext/>
      <w:keepLines/>
      <w:spacing w:before="480" w:after="240"/>
      <w:jc w:val="center"/>
    </w:pPr>
    <w:rPr>
      <w:rFonts w:asciiTheme="majorHAnsi" w:eastAsiaTheme="majorEastAsia" w:hAnsiTheme="majorHAnsi" w:cstheme="majorBidi"/>
      <w:b/>
      <w:bCs/>
      <w:color w:val="345A8A" w:themeColor="accent1" w:themeShade="B5"/>
      <w:sz w:val="36"/>
      <w:szCs w:val="36"/>
    </w:rPr>
  </w:style>
  <w:style w:type="paragraph" w:styleId="a6">
    <w:name w:val="Subtitle"/>
    <w:basedOn w:val="a5"/>
    <w:next w:val="a0"/>
    <w:qFormat/>
    <w:pPr>
      <w:spacing w:before="240"/>
    </w:pPr>
    <w:rPr>
      <w:sz w:val="30"/>
      <w:szCs w:val="30"/>
    </w:rPr>
  </w:style>
  <w:style w:type="paragraph" w:customStyle="1" w:styleId="Author">
    <w:name w:val="Author"/>
    <w:next w:val="a0"/>
    <w:qFormat/>
    <w:pPr>
      <w:keepNext/>
      <w:keepLines/>
      <w:jc w:val="center"/>
    </w:pPr>
  </w:style>
  <w:style w:type="paragraph" w:styleId="a7">
    <w:name w:val="Date"/>
    <w:next w:val="a0"/>
    <w:qFormat/>
    <w:pPr>
      <w:keepNext/>
      <w:keepLines/>
      <w:jc w:val="center"/>
    </w:pPr>
  </w:style>
  <w:style w:type="paragraph" w:customStyle="1" w:styleId="Abstract">
    <w:name w:val="Abstract"/>
    <w:basedOn w:val="a"/>
    <w:next w:val="a0"/>
    <w:qFormat/>
    <w:pPr>
      <w:keepNext/>
      <w:keepLines/>
      <w:spacing w:before="300" w:after="300"/>
    </w:pPr>
    <w:rPr>
      <w:sz w:val="20"/>
      <w:szCs w:val="20"/>
    </w:rPr>
  </w:style>
  <w:style w:type="paragraph" w:styleId="a8">
    <w:name w:val="Bibliography"/>
    <w:basedOn w:val="a"/>
    <w:qFormat/>
  </w:style>
  <w:style w:type="paragraph" w:styleId="a9">
    <w:name w:val="Block Text"/>
    <w:basedOn w:val="a0"/>
    <w:next w:val="a0"/>
    <w:uiPriority w:val="9"/>
    <w:unhideWhenUsed/>
    <w:qFormat/>
    <w:pPr>
      <w:spacing w:before="100" w:after="100"/>
    </w:pPr>
    <w:rPr>
      <w:rFonts w:asciiTheme="majorHAnsi" w:eastAsiaTheme="majorEastAsia" w:hAnsiTheme="majorHAnsi" w:cstheme="majorBidi"/>
      <w:bCs/>
      <w:sz w:val="20"/>
      <w:szCs w:val="20"/>
    </w:rPr>
  </w:style>
  <w:style w:type="paragraph" w:styleId="aa">
    <w:name w:val="footnote text"/>
    <w:basedOn w:val="a"/>
    <w:uiPriority w:val="9"/>
    <w:unhideWhenUsed/>
    <w:qFormat/>
  </w:style>
  <w:style w:type="table" w:customStyle="1" w:styleId="Table">
    <w:name w:val="Table"/>
    <w:semiHidden/>
    <w:unhideWhenUsed/>
    <w:qFormat/>
    <w:rsid w:val="000944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initionTerm">
    <w:name w:val="Definition Term"/>
    <w:basedOn w:val="a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a"/>
  </w:style>
  <w:style w:type="paragraph" w:styleId="ab">
    <w:name w:val="caption"/>
    <w:basedOn w:val="a"/>
    <w:link w:val="ac"/>
    <w:pPr>
      <w:spacing w:after="120"/>
    </w:pPr>
    <w:rPr>
      <w:i/>
    </w:rPr>
  </w:style>
  <w:style w:type="paragraph" w:customStyle="1" w:styleId="TableCaption">
    <w:name w:val="Table Caption"/>
    <w:basedOn w:val="ab"/>
    <w:pPr>
      <w:keepNext/>
    </w:pPr>
  </w:style>
  <w:style w:type="paragraph" w:customStyle="1" w:styleId="ImageCaption">
    <w:name w:val="Image Caption"/>
    <w:basedOn w:val="ab"/>
  </w:style>
  <w:style w:type="paragraph" w:customStyle="1" w:styleId="Figure">
    <w:name w:val="Figure"/>
    <w:basedOn w:val="a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ac">
    <w:name w:val="Название объекта Знак"/>
    <w:basedOn w:val="a1"/>
    <w:link w:val="ab"/>
  </w:style>
  <w:style w:type="character" w:customStyle="1" w:styleId="VerbatimChar">
    <w:name w:val="Verbatim Char"/>
    <w:basedOn w:val="ac"/>
    <w:rPr>
      <w:rFonts w:ascii="Consolas" w:hAnsi="Consolas"/>
      <w:sz w:val="22"/>
    </w:rPr>
  </w:style>
  <w:style w:type="character" w:styleId="ad">
    <w:name w:val="footnote reference"/>
    <w:basedOn w:val="ac"/>
    <w:rPr>
      <w:vertAlign w:val="superscript"/>
    </w:rPr>
  </w:style>
  <w:style w:type="character" w:styleId="ae">
    <w:name w:val="Hyperlink"/>
    <w:basedOn w:val="ac"/>
    <w:rPr>
      <w:color w:val="4F81BD" w:themeColor="accent1"/>
    </w:rPr>
  </w:style>
  <w:style w:type="paragraph" w:styleId="af">
    <w:name w:val="TOC Heading"/>
    <w:basedOn w:val="1"/>
    <w:next w:val="a0"/>
    <w:uiPriority w:val="39"/>
    <w:unhideWhenUsed/>
    <w:qFormat/>
    <w:pPr>
      <w:spacing w:before="240" w:line="259" w:lineRule="auto"/>
      <w:outlineLvl w:val="9"/>
    </w:pPr>
    <w:rPr>
      <w:b w:val="0"/>
      <w:bCs w:val="0"/>
      <w:color w:val="365F91" w:themeColor="accent1" w:themeShade="BF"/>
    </w:rPr>
  </w:style>
  <w:style w:type="character" w:customStyle="1" w:styleId="a4">
    <w:name w:val="Основной текст Знак"/>
    <w:basedOn w:val="a1"/>
    <w:link w:val="a0"/>
    <w:rsid w:val="00094458"/>
  </w:style>
  <w:style w:type="table" w:styleId="af0">
    <w:name w:val="Table Grid"/>
    <w:basedOn w:val="a2"/>
    <w:rsid w:val="00094458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ourceCode">
    <w:name w:val="Source Code"/>
    <w:basedOn w:val="Normal"/>
    <w:link w:val="VerbatimChar"/>
    <w:pPr>
      <w:wordWrap w:val="off"/>
    </w:pPr>
  </w:style>
  <w:style w:type="character" w:customStyle="1" w:styleId="KeywordTok">
    <w:name w:val="KeywordTok"/>
    <w:basedOn w:val="VerbatimChar"/>
    <w:rPr>
      <w:color w:val="007020"/>
      <w:b/>
    </w:rPr>
  </w:style>
  <w:style w:type="character" w:customStyle="1" w:styleId="DataTypeTok">
    <w:name w:val="DataTypeTok"/>
    <w:basedOn w:val="VerbatimChar"/>
    <w:rPr>
      <w:color w:val="902000"/>
    </w:rPr>
  </w:style>
  <w:style w:type="character" w:customStyle="1" w:styleId="DecValTok">
    <w:name w:val="DecValTok"/>
    <w:basedOn w:val="VerbatimChar"/>
    <w:rPr>
      <w:color w:val="40a070"/>
    </w:rPr>
  </w:style>
  <w:style w:type="character" w:customStyle="1" w:styleId="BaseNTok">
    <w:name w:val="BaseNTok"/>
    <w:basedOn w:val="VerbatimChar"/>
    <w:rPr>
      <w:color w:val="40a070"/>
    </w:rPr>
  </w:style>
  <w:style w:type="character" w:customStyle="1" w:styleId="FloatTok">
    <w:name w:val="FloatTok"/>
    <w:basedOn w:val="VerbatimChar"/>
    <w:rPr>
      <w:color w:val="40a070"/>
    </w:rPr>
  </w:style>
  <w:style w:type="character" w:customStyle="1" w:styleId="ConstantTok">
    <w:name w:val="ConstantTok"/>
    <w:basedOn w:val="VerbatimChar"/>
    <w:rPr>
      <w:color w:val="880000"/>
    </w:rPr>
  </w:style>
  <w:style w:type="character" w:customStyle="1" w:styleId="CharTok">
    <w:name w:val="CharTok"/>
    <w:basedOn w:val="VerbatimChar"/>
    <w:rPr>
      <w:color w:val="4070a0"/>
    </w:rPr>
  </w:style>
  <w:style w:type="character" w:customStyle="1" w:styleId="SpecialCharTok">
    <w:name w:val="SpecialCharTok"/>
    <w:basedOn w:val="VerbatimChar"/>
    <w:rPr>
      <w:color w:val="4070a0"/>
    </w:rPr>
  </w:style>
  <w:style w:type="character" w:customStyle="1" w:styleId="StringTok">
    <w:name w:val="StringTok"/>
    <w:basedOn w:val="VerbatimChar"/>
    <w:rPr>
      <w:color w:val="4070a0"/>
    </w:rPr>
  </w:style>
  <w:style w:type="character" w:customStyle="1" w:styleId="VerbatimStringTok">
    <w:name w:val="VerbatimStringTok"/>
    <w:basedOn w:val="VerbatimChar"/>
    <w:rPr>
      <w:color w:val="4070a0"/>
    </w:rPr>
  </w:style>
  <w:style w:type="character" w:customStyle="1" w:styleId="SpecialStringTok">
    <w:name w:val="SpecialStringTok"/>
    <w:basedOn w:val="VerbatimChar"/>
    <w:rPr>
      <w:color w:val="bb6688"/>
    </w:rPr>
  </w:style>
  <w:style w:type="character" w:customStyle="1" w:styleId="ImportTok">
    <w:name w:val="ImportTok"/>
    <w:basedOn w:val="VerbatimChar"/>
    <w:rPr/>
  </w:style>
  <w:style w:type="character" w:customStyle="1" w:styleId="CommentTok">
    <w:name w:val="CommentTok"/>
    <w:basedOn w:val="VerbatimChar"/>
    <w:rPr>
      <w:color w:val="60a0b0"/>
      <w:i/>
    </w:rPr>
  </w:style>
  <w:style w:type="character" w:customStyle="1" w:styleId="DocumentationTok">
    <w:name w:val="DocumentationTok"/>
    <w:basedOn w:val="VerbatimChar"/>
    <w:rPr>
      <w:color w:val="ba2121"/>
      <w:i/>
    </w:rPr>
  </w:style>
  <w:style w:type="character" w:customStyle="1" w:styleId="AnnotationTok">
    <w:name w:val="AnnotationTok"/>
    <w:basedOn w:val="VerbatimChar"/>
    <w:rPr>
      <w:color w:val="60a0b0"/>
      <w:b/>
      <w:i/>
    </w:rPr>
  </w:style>
  <w:style w:type="character" w:customStyle="1" w:styleId="CommentVarTok">
    <w:name w:val="CommentVarTok"/>
    <w:basedOn w:val="VerbatimChar"/>
    <w:rPr>
      <w:color w:val="60a0b0"/>
      <w:b/>
      <w:i/>
    </w:rPr>
  </w:style>
  <w:style w:type="character" w:customStyle="1" w:styleId="OtherTok">
    <w:name w:val="OtherTok"/>
    <w:basedOn w:val="VerbatimChar"/>
    <w:rPr>
      <w:color w:val="007020"/>
    </w:rPr>
  </w:style>
  <w:style w:type="character" w:customStyle="1" w:styleId="FunctionTok">
    <w:name w:val="FunctionTok"/>
    <w:basedOn w:val="VerbatimChar"/>
    <w:rPr>
      <w:color w:val="06287e"/>
    </w:rPr>
  </w:style>
  <w:style w:type="character" w:customStyle="1" w:styleId="VariableTok">
    <w:name w:val="VariableTok"/>
    <w:basedOn w:val="VerbatimChar"/>
    <w:rPr>
      <w:color w:val="19177c"/>
    </w:rPr>
  </w:style>
  <w:style w:type="character" w:customStyle="1" w:styleId="ControlFlowTok">
    <w:name w:val="ControlFlowTok"/>
    <w:basedOn w:val="VerbatimChar"/>
    <w:rPr>
      <w:color w:val="007020"/>
      <w:b/>
    </w:rPr>
  </w:style>
  <w:style w:type="character" w:customStyle="1" w:styleId="OperatorTok">
    <w:name w:val="OperatorTok"/>
    <w:basedOn w:val="VerbatimChar"/>
    <w:rPr>
      <w:color w:val="666666"/>
    </w:rPr>
  </w:style>
  <w:style w:type="character" w:customStyle="1" w:styleId="BuiltInTok">
    <w:name w:val="BuiltInTok"/>
    <w:basedOn w:val="VerbatimChar"/>
    <w:rPr/>
  </w:style>
  <w:style w:type="character" w:customStyle="1" w:styleId="ExtensionTok">
    <w:name w:val="ExtensionTok"/>
    <w:basedOn w:val="VerbatimChar"/>
    <w:rPr/>
  </w:style>
  <w:style w:type="character" w:customStyle="1" w:styleId="PreprocessorTok">
    <w:name w:val="PreprocessorTok"/>
    <w:basedOn w:val="VerbatimChar"/>
    <w:rPr>
      <w:color w:val="bc7a00"/>
    </w:rPr>
  </w:style>
  <w:style w:type="character" w:customStyle="1" w:styleId="AttributeTok">
    <w:name w:val="AttributeTok"/>
    <w:basedOn w:val="VerbatimChar"/>
    <w:rPr>
      <w:color w:val="7d9029"/>
    </w:rPr>
  </w:style>
  <w:style w:type="character" w:customStyle="1" w:styleId="RegionMarkerTok">
    <w:name w:val="RegionMarkerTok"/>
    <w:basedOn w:val="VerbatimChar"/>
    <w:rPr/>
  </w:style>
  <w:style w:type="character" w:customStyle="1" w:styleId="InformationTok">
    <w:name w:val="InformationTok"/>
    <w:basedOn w:val="VerbatimChar"/>
    <w:rPr>
      <w:color w:val="60a0b0"/>
      <w:b/>
      <w:i/>
    </w:rPr>
  </w:style>
  <w:style w:type="character" w:customStyle="1" w:styleId="WarningTok">
    <w:name w:val="WarningTok"/>
    <w:basedOn w:val="VerbatimChar"/>
    <w:rPr>
      <w:color w:val="60a0b0"/>
      <w:b/>
      <w:i/>
    </w:rPr>
  </w:style>
  <w:style w:type="character" w:customStyle="1" w:styleId="AlertTok">
    <w:name w:val="AlertTok"/>
    <w:basedOn w:val="VerbatimChar"/>
    <w:rPr>
      <w:color w:val="ff0000"/>
      <w:b/>
    </w:rPr>
  </w:style>
  <w:style w:type="character" w:customStyle="1" w:styleId="ErrorTok">
    <w:name w:val="ErrorTok"/>
    <w:basedOn w:val="VerbatimChar"/>
    <w:rPr>
      <w:color w:val="ff0000"/>
      <w:b/>
    </w:rPr>
  </w:style>
  <w:style w:type="character" w:customStyle="1" w:styleId="NormalTok">
    <w:name w:val="NormalTok"/>
    <w:basedOn w:val="VerbatimChar"/>
    <w:r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?>
<Relationships xmlns="http://schemas.openxmlformats.org/package/2006/relationships"><Relationship Type="http://schemas.openxmlformats.org/officeDocument/2006/relationships/numbering" Id="rId1" Target="numbering.xml" /><Relationship Type="http://schemas.openxmlformats.org/officeDocument/2006/relationships/styles" Id="rId2" Target="styles.xml" /><Relationship Type="http://schemas.openxmlformats.org/officeDocument/2006/relationships/settings" Id="rId3" Target="settings.xml" /><Relationship Type="http://schemas.openxmlformats.org/officeDocument/2006/relationships/webSettings" Id="rId4" Target="webSettings.xml" /><Relationship Type="http://schemas.openxmlformats.org/officeDocument/2006/relationships/fontTable" Id="rId5" Target="fontTable.xml" /><Relationship Type="http://schemas.openxmlformats.org/officeDocument/2006/relationships/theme" Id="rId6" Target="theme/theme1.xml" /><Relationship Type="http://schemas.openxmlformats.org/officeDocument/2006/relationships/footnotes" Id="rId7" Target="footnotes.xml" /><Relationship Type="http://schemas.openxmlformats.org/officeDocument/2006/relationships/comments" Id="rId8" Target="comments.xml" /></Relationships>
</file>

<file path=word/_rels/footnotes.xml.rels><?xml version="1.0" encoding="UTF-8"?>
<Relationships xmlns="http://schemas.openxmlformats.org/package/2006/relationships" 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Title</vt:lpstr>
    </vt:vector>
  </TitlesOfParts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/>
  <dcterms:created xsi:type="dcterms:W3CDTF">2018-12-06T16:12:15Z</dcterms:created>
  <dcterms:modified xsi:type="dcterms:W3CDTF">2018-12-06T16:12:15Z</dcterms:modified>
</cp:coreProperties>
</file>